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ECDF69" w14:textId="77777777" w:rsidR="001207F0" w:rsidRDefault="001207F0" w:rsidP="001207F0">
      <w:pPr>
        <w:spacing w:line="480" w:lineRule="auto"/>
        <w:jc w:val="center"/>
        <w:rPr>
          <w:rFonts w:ascii="Times New Roman" w:hAnsi="Times New Roman" w:cs="Times New Roman"/>
          <w:sz w:val="24"/>
          <w:szCs w:val="24"/>
          <w:lang w:val="en-US"/>
        </w:rPr>
      </w:pPr>
    </w:p>
    <w:p w14:paraId="12286386" w14:textId="77777777" w:rsidR="001207F0" w:rsidRDefault="001207F0" w:rsidP="001207F0">
      <w:pPr>
        <w:spacing w:line="480" w:lineRule="auto"/>
        <w:jc w:val="center"/>
        <w:rPr>
          <w:rFonts w:ascii="Times New Roman" w:hAnsi="Times New Roman" w:cs="Times New Roman"/>
          <w:sz w:val="24"/>
          <w:szCs w:val="24"/>
          <w:lang w:val="en-US"/>
        </w:rPr>
      </w:pPr>
    </w:p>
    <w:p w14:paraId="431397BB" w14:textId="77777777" w:rsidR="001207F0" w:rsidRDefault="001207F0" w:rsidP="001207F0">
      <w:pPr>
        <w:spacing w:line="480" w:lineRule="auto"/>
        <w:jc w:val="center"/>
        <w:rPr>
          <w:rFonts w:ascii="Times New Roman" w:hAnsi="Times New Roman" w:cs="Times New Roman"/>
          <w:sz w:val="24"/>
          <w:szCs w:val="24"/>
          <w:lang w:val="en-US"/>
        </w:rPr>
      </w:pPr>
    </w:p>
    <w:p w14:paraId="52874049" w14:textId="77777777" w:rsidR="001207F0" w:rsidRDefault="001207F0" w:rsidP="001207F0">
      <w:pPr>
        <w:spacing w:line="480" w:lineRule="auto"/>
        <w:jc w:val="center"/>
        <w:rPr>
          <w:rFonts w:ascii="Times New Roman" w:hAnsi="Times New Roman" w:cs="Times New Roman"/>
          <w:sz w:val="24"/>
          <w:szCs w:val="24"/>
          <w:lang w:val="en-US"/>
        </w:rPr>
      </w:pPr>
    </w:p>
    <w:p w14:paraId="6049274F" w14:textId="77777777" w:rsidR="001207F0" w:rsidRDefault="001207F0" w:rsidP="001207F0">
      <w:pPr>
        <w:spacing w:line="480" w:lineRule="auto"/>
        <w:jc w:val="center"/>
        <w:rPr>
          <w:rFonts w:ascii="Times New Roman" w:hAnsi="Times New Roman" w:cs="Times New Roman"/>
          <w:sz w:val="24"/>
          <w:szCs w:val="24"/>
          <w:lang w:val="en-US"/>
        </w:rPr>
      </w:pPr>
    </w:p>
    <w:p w14:paraId="082902C0" w14:textId="29BA0471" w:rsidR="00F304D5" w:rsidRDefault="00F304D5" w:rsidP="001207F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Strategic Analysis of Peloton</w:t>
      </w:r>
    </w:p>
    <w:p w14:paraId="0FFD336D" w14:textId="752E0D68" w:rsidR="00F401DC" w:rsidRDefault="00F401DC" w:rsidP="001207F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5C3F383A" w14:textId="77777777" w:rsidR="00F401DC" w:rsidRDefault="00F401DC" w:rsidP="001207F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5EA6071C" w14:textId="77777777" w:rsidR="001207F0" w:rsidRDefault="001207F0" w:rsidP="001207F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79BA256" w14:textId="6EA22D05" w:rsidR="00F401DC" w:rsidRDefault="00F401DC" w:rsidP="001207F0">
      <w:pPr>
        <w:spacing w:line="480" w:lineRule="auto"/>
        <w:jc w:val="center"/>
        <w:rPr>
          <w:rFonts w:ascii="Times New Roman" w:hAnsi="Times New Roman" w:cs="Times New Roman"/>
          <w:sz w:val="24"/>
          <w:szCs w:val="24"/>
          <w:lang w:val="en-US"/>
        </w:rPr>
      </w:pPr>
      <w:r w:rsidRPr="00F401DC">
        <w:rPr>
          <w:rFonts w:ascii="Times New Roman" w:hAnsi="Times New Roman" w:cs="Times New Roman"/>
          <w:sz w:val="24"/>
          <w:szCs w:val="24"/>
          <w:lang w:val="en-US"/>
        </w:rPr>
        <w:lastRenderedPageBreak/>
        <w:t>Strategic Analysis of Peloton</w:t>
      </w:r>
    </w:p>
    <w:p w14:paraId="1494293C" w14:textId="77777777"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Peloton Inc. is currently the world’s largest interactive fitness platform with an estimated worldwide membership of over 1.4 million individuals (Peloton Inc, 2019). This paper analyzes Peloton’s strategy using a basic framework proposed by Grant (2016) that views strategy as the link between the firm and the industry environment. In this context, Grant (2016) defines strategy as the means through which an organization achieves its objectives. As such, this paper identifies some short and long-term goals of Peloton, its resources, and how the firm has implemented its strategy historically and in the past three years. Subsequently, the paper analyzes the competitive environment of Peloton, which entails the firm’s relationships with competitors, customers, and suppliers (Grant, 2016).  Additionally, this paper utilizes Grant’s (2016) framework to assess Peloton’s performance compared to some of its industry competitors, followed by an estimation of where the company’s performance may go in the next five years. Ultimately, the paper draws from Grant’s (2016) work in analyzing Peloton’s global strategy and how they can remain competitive in the global market.</w:t>
      </w:r>
    </w:p>
    <w:p w14:paraId="500D277F" w14:textId="77777777" w:rsidR="00F401DC" w:rsidRDefault="00F401DC" w:rsidP="001207F0">
      <w:pPr>
        <w:spacing w:line="480" w:lineRule="auto"/>
        <w:jc w:val="center"/>
        <w:rPr>
          <w:rFonts w:ascii="Times New Roman" w:hAnsi="Times New Roman" w:cs="Times New Roman"/>
          <w:b/>
          <w:bCs/>
          <w:sz w:val="24"/>
          <w:szCs w:val="24"/>
          <w:lang w:val="en-US"/>
        </w:rPr>
      </w:pPr>
      <w:r w:rsidRPr="00F401DC">
        <w:rPr>
          <w:rFonts w:ascii="Times New Roman" w:hAnsi="Times New Roman" w:cs="Times New Roman"/>
          <w:b/>
          <w:bCs/>
          <w:sz w:val="24"/>
          <w:szCs w:val="24"/>
          <w:lang w:val="en-US"/>
        </w:rPr>
        <w:t xml:space="preserve">The Company </w:t>
      </w:r>
      <w:r w:rsidR="00F304D5" w:rsidRPr="00F304D5">
        <w:rPr>
          <w:rFonts w:ascii="Times New Roman" w:hAnsi="Times New Roman" w:cs="Times New Roman"/>
          <w:b/>
          <w:bCs/>
          <w:sz w:val="24"/>
          <w:szCs w:val="24"/>
          <w:lang w:val="en-US"/>
        </w:rPr>
        <w:t>Goals, Competitive Environment, Resources, and Strategy Implementation</w:t>
      </w:r>
    </w:p>
    <w:p w14:paraId="5B95BEEB" w14:textId="63DE339D"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 xml:space="preserve">A successful strategy requires the establishment of clear and concise goals (Grant, 2016). In identifying the short-and long-term goals of Peloton’s strategy, Grant (2016) guides </w:t>
      </w:r>
      <w:r w:rsidR="00B85ECB">
        <w:rPr>
          <w:rFonts w:ascii="Times New Roman" w:hAnsi="Times New Roman" w:cs="Times New Roman"/>
          <w:sz w:val="24"/>
          <w:szCs w:val="24"/>
          <w:lang w:val="en-US"/>
        </w:rPr>
        <w:t>that the analysis should</w:t>
      </w:r>
      <w:r w:rsidRPr="00F304D5">
        <w:rPr>
          <w:rFonts w:ascii="Times New Roman" w:hAnsi="Times New Roman" w:cs="Times New Roman"/>
          <w:sz w:val="24"/>
          <w:szCs w:val="24"/>
          <w:lang w:val="en-US"/>
        </w:rPr>
        <w:t xml:space="preserve"> examine the firm</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s mission statement, values, vision statement, and strategy statement. From these statements, we can point out Peloton</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 xml:space="preserve">s main long-term goal, which is to empower people to improve their lives through fitness by making fitness entertaining and convenient while fostering social connections through technology-enabled fitness and instructor-led boutique fitness classes (Peloton Inc, 2019). Additional long-term </w:t>
      </w:r>
      <w:r w:rsidRPr="00F304D5">
        <w:rPr>
          <w:rFonts w:ascii="Times New Roman" w:hAnsi="Times New Roman" w:cs="Times New Roman"/>
          <w:sz w:val="24"/>
          <w:szCs w:val="24"/>
          <w:lang w:val="en-US"/>
        </w:rPr>
        <w:lastRenderedPageBreak/>
        <w:t xml:space="preserve">goals are to create an organizational culture that fosters innovation and constant improvement, to </w:t>
      </w:r>
      <w:r w:rsidR="00B85ECB">
        <w:rPr>
          <w:rFonts w:ascii="Times New Roman" w:hAnsi="Times New Roman" w:cs="Times New Roman"/>
          <w:sz w:val="24"/>
          <w:szCs w:val="24"/>
          <w:lang w:val="en-US"/>
        </w:rPr>
        <w:t>consistently grow their Connected Fitness Subscriber Base</w:t>
      </w:r>
      <w:r w:rsidRPr="00F304D5">
        <w:rPr>
          <w:rFonts w:ascii="Times New Roman" w:hAnsi="Times New Roman" w:cs="Times New Roman"/>
          <w:sz w:val="24"/>
          <w:szCs w:val="24"/>
          <w:lang w:val="en-US"/>
        </w:rPr>
        <w:t>, and to increase member engagement to enhance member retention (Peloton Inc, 2019). Some of the short-term goals are to grow the firm</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s brand awareness, to continuously enhance the member experience, pursue disciplined expansion into new geographies, to consistently launch new products and expand their content offering, and to invest in their technology and infrastructure to extend their leadership in connected fitness (Peloton Inc, 2019).</w:t>
      </w:r>
    </w:p>
    <w:p w14:paraId="11DE5AE5" w14:textId="50DDBBFA"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An analysis of the competitive environment of Peloton provides us with a better understanding of the link between their strategy and the external environment. For this analysis, a modified SWOT framework proposed by Grant (2016) will be used, which identifies the external forces affecting a firm, and then analyzes their implications while avoiding the typical classification into strengths, weaknesses, opportunities, and threats. Peloton operates in a highly competitive health and wellness market environment</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 xml:space="preserve"> which is currently one of the most driving markets for world development (Gazzola et al</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 2020). The industry has experienced relatively steady growth from 2015, with about a 6.4% growth rate which is almost double that of the world economy at 3.6% within the same period (Gazzola et al</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 2020). According to the Global Wellness Institute (GWI), the average growth rate between 2017 and 2022 is estimated to remain at about 6.5%, although this mainly depends on the post-Covid-19 crisis (Gazzola et al</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 2020).</w:t>
      </w:r>
    </w:p>
    <w:p w14:paraId="3AD81C25" w14:textId="569108B0"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 xml:space="preserve">Peloton has various resources and capabilities which are used in the effective implementation of their strategy. The firm’s research and development organization </w:t>
      </w:r>
      <w:r w:rsidR="000D33F9" w:rsidRPr="00F304D5">
        <w:rPr>
          <w:rFonts w:ascii="Times New Roman" w:hAnsi="Times New Roman" w:cs="Times New Roman"/>
          <w:sz w:val="24"/>
          <w:szCs w:val="24"/>
          <w:lang w:val="en-US"/>
        </w:rPr>
        <w:t>consist</w:t>
      </w:r>
      <w:r w:rsidR="00B85ECB">
        <w:rPr>
          <w:rFonts w:ascii="Times New Roman" w:hAnsi="Times New Roman" w:cs="Times New Roman"/>
          <w:sz w:val="24"/>
          <w:szCs w:val="24"/>
          <w:lang w:val="en-US"/>
        </w:rPr>
        <w:t>s</w:t>
      </w:r>
      <w:r w:rsidRPr="00F304D5">
        <w:rPr>
          <w:rFonts w:ascii="Times New Roman" w:hAnsi="Times New Roman" w:cs="Times New Roman"/>
          <w:sz w:val="24"/>
          <w:szCs w:val="24"/>
          <w:lang w:val="en-US"/>
        </w:rPr>
        <w:t xml:space="preserve"> of world-class engineering, product, and design teams (Peloton Inc, 2019). These teams have a diverse set of skills and industry experience, including expertise in highly scalable distributed systems, machine learning, artificial intelligence, and user-centric application engineering (Peloton Inc, 2019). Additional resources owned by Peloton include a diverse </w:t>
      </w:r>
      <w:r w:rsidRPr="00F304D5">
        <w:rPr>
          <w:rFonts w:ascii="Times New Roman" w:hAnsi="Times New Roman" w:cs="Times New Roman"/>
          <w:sz w:val="24"/>
          <w:szCs w:val="24"/>
          <w:lang w:val="en-US"/>
        </w:rPr>
        <w:lastRenderedPageBreak/>
        <w:t>content library with thousands of classes across an extensive range of class lengths, difficulty levels, and fitness preferences ranging from fun and flexible to structured and highly technical, all of which their Members easily access through filtering and search capabilities (Peloton Inc, 2019). Also, the firm produces over 950 original programs per month from three production studios in New York City and London, with 29 instructors as of June 30, 2019, and across 10 fitness and wellness disciplines</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 xml:space="preserve"> including indoor cycling, indoor/outdoor running, and walking, boot camp, yoga, strength training, stretching, meditation, and floor cardio (Peloton Inc, 2019). Moreover, the firm has 74 showrooms with knowledgeable sales specialists, a high-touch delivery service, and helpful Member support teams (Peloton Inc, 2019).</w:t>
      </w:r>
    </w:p>
    <w:p w14:paraId="61CFF67C" w14:textId="658149D9"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To better analyze Peloton’s strategy execution, we can examine how the firm has implemented its strategy historically and in the past three years. According to Grant (2016), the implementation of a strategy entails pursuing clear long-term goals using an understanding of the competitive environment and the objective appraisal of the firm’s resources. Established in 2012, the company aimed to make fitness entertaining, approachable, effective, and convenient while fostering social connections that encourage their members to be the best versions of themselves (Peloton Inc, 2019). As such, the company created a unique subscription platform that seamlessly combines the best equipment, proprietary networked software, and world-class streaming digital fitness and wellness content (Peloton Inc, 2019). Additionally, the firm launched its interactive fitness equipment which includes the Peloton Bike in 2014 and the Peloton Tread in 2018, in addition to their fitness apparel (Peloton Inc, 2019). Peloton also launched its iOS app in 2015 to improve member engagement (Peloton Inc, 2019). As such, the firm surpassed the 100,000 Connected Fitness Subscribers mark in 2017 (Peloton Inc, 2019).</w:t>
      </w:r>
    </w:p>
    <w:p w14:paraId="31033170" w14:textId="6BC04A57"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lastRenderedPageBreak/>
        <w:t xml:space="preserve">Within the past three years, Peloton launched their services in </w:t>
      </w:r>
      <w:r w:rsidR="00B85ECB">
        <w:rPr>
          <w:rFonts w:ascii="Times New Roman" w:hAnsi="Times New Roman" w:cs="Times New Roman"/>
          <w:sz w:val="24"/>
          <w:szCs w:val="24"/>
          <w:lang w:val="en-US"/>
        </w:rPr>
        <w:t xml:space="preserve">the </w:t>
      </w:r>
      <w:r w:rsidRPr="00F304D5">
        <w:rPr>
          <w:rFonts w:ascii="Times New Roman" w:hAnsi="Times New Roman" w:cs="Times New Roman"/>
          <w:sz w:val="24"/>
          <w:szCs w:val="24"/>
          <w:lang w:val="en-US"/>
        </w:rPr>
        <w:t>U</w:t>
      </w:r>
      <w:r w:rsidR="00B85ECB">
        <w:rPr>
          <w:rFonts w:ascii="Times New Roman" w:hAnsi="Times New Roman" w:cs="Times New Roman"/>
          <w:sz w:val="24"/>
          <w:szCs w:val="24"/>
          <w:lang w:val="en-US"/>
        </w:rPr>
        <w:t>.K.</w:t>
      </w:r>
      <w:r w:rsidRPr="00F304D5">
        <w:rPr>
          <w:rFonts w:ascii="Times New Roman" w:hAnsi="Times New Roman" w:cs="Times New Roman"/>
          <w:sz w:val="24"/>
          <w:szCs w:val="24"/>
          <w:lang w:val="en-US"/>
        </w:rPr>
        <w:t xml:space="preserve"> and Canada in 2018, thus surpassing the 250,000 Connected Fitness Subscribers mark in the same year</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 xml:space="preserve"> and exceeding the 85mm cumulative workouts mark in 2019 (Peloton Inc, 2019). Additionally, the firm re-launched Peloton Digital in 2018, thus expanding its content offering to include boot camp and indoor/outdoor running and walking classes (Peloton Inc, 2019). This was followed by a significant expansion of their yoga content offering and the launch of meditation in 2018 (Peloton Inc, 2019). Fundamentally, the focus of Peloton Digital today was to increase engagement with our Connected Fitness Subscribers and provide users with an opportunity to try Peloton content before they purchase a Connected Fitness Product (Peloton Inc, 2019). As of 2019, Peloton had over 511,000 Connected Fitness Subscribers, 102,000 Digital Subscribers, and over 1.4 million users who owned a Peloton account (Peloton Inc, 2019). In 2020, the firm saw an increase in subscription reactivations (Thomas, 2020).</w:t>
      </w:r>
    </w:p>
    <w:p w14:paraId="35AB55B9" w14:textId="77777777" w:rsidR="00F401DC" w:rsidRDefault="00F304D5" w:rsidP="001207F0">
      <w:pPr>
        <w:spacing w:line="480" w:lineRule="auto"/>
        <w:jc w:val="center"/>
        <w:rPr>
          <w:rFonts w:ascii="Times New Roman" w:hAnsi="Times New Roman" w:cs="Times New Roman"/>
          <w:b/>
          <w:sz w:val="24"/>
          <w:szCs w:val="24"/>
          <w:lang w:val="en-US"/>
        </w:rPr>
      </w:pPr>
      <w:r w:rsidRPr="00F304D5">
        <w:rPr>
          <w:rFonts w:ascii="Times New Roman" w:hAnsi="Times New Roman" w:cs="Times New Roman"/>
          <w:b/>
          <w:sz w:val="24"/>
          <w:szCs w:val="24"/>
          <w:lang w:val="en-US"/>
        </w:rPr>
        <w:t>P</w:t>
      </w:r>
      <w:r w:rsidR="00F401DC">
        <w:rPr>
          <w:rFonts w:ascii="Times New Roman" w:hAnsi="Times New Roman" w:cs="Times New Roman"/>
          <w:b/>
          <w:sz w:val="24"/>
          <w:szCs w:val="24"/>
          <w:lang w:val="en-US"/>
        </w:rPr>
        <w:t xml:space="preserve">eloton’s </w:t>
      </w:r>
      <w:r w:rsidRPr="00F304D5">
        <w:rPr>
          <w:rFonts w:ascii="Times New Roman" w:hAnsi="Times New Roman" w:cs="Times New Roman"/>
          <w:b/>
          <w:sz w:val="24"/>
          <w:szCs w:val="24"/>
          <w:lang w:val="en-US"/>
        </w:rPr>
        <w:t>Performance Analysis</w:t>
      </w:r>
    </w:p>
    <w:p w14:paraId="6093CF8D" w14:textId="7072B8D8"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To analyze Peloton</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s performance, we can assess the value that the company creates. Grant (2016) argues that the purpose of business is to create value for customers and to appropriate some of that customer value in the form of profit—thereby creating value for the firm. Here, profit is the surplus of revenues over costs available for distribution to the owners of the firm (Grant, 2016). Peloton</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 xml:space="preserve">s Connected Fitness Subscribers provided a clear endorsement of the superior value of their offering, with a 2019 Member Survey revealing that the vast majority of the members say that Peloton offers a better value than all other fitness alternatives (Peloton Inc, 2019). In creating value for the firm, Peloton’s revenue is primarily generated from the sale of their Connected Fitness Products and associated recurring subscription revenue (Peloton Inc, 2019). In the fiscal year 2019, approximately 50% of all Connected Fitness Products sold were financed (Peloton Inc, 2019). As of June 30, </w:t>
      </w:r>
      <w:r w:rsidRPr="00F304D5">
        <w:rPr>
          <w:rFonts w:ascii="Times New Roman" w:hAnsi="Times New Roman" w:cs="Times New Roman"/>
          <w:sz w:val="24"/>
          <w:szCs w:val="24"/>
          <w:lang w:val="en-US"/>
        </w:rPr>
        <w:lastRenderedPageBreak/>
        <w:t>2019, Peloton had sold approximately 577,000 Connected Fitness Products globally (Peloton Inc, 2019).</w:t>
      </w:r>
    </w:p>
    <w:p w14:paraId="6B5C33C1" w14:textId="77777777"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Other metrics can also be used to analyze Peloton’s performance, such as the firm’s aided brand awareness which has grown rapidly in the United States and reached 67% as of April 3, 2019 (Peloton Inc, 2019). Additionally, the Total Workouts for their Connected Fitness Subscribers grew from 17.9 million in fiscal 2018 to 52.2 million in fiscal 2019, respectively, representing a 192% increase (Peloton Inc, 2019). Thus, their Connected Fitness subscriber base grew by 108% in fiscal 2019 (Peloton Inc, 2019). As such, Peloton is a fast-growing and scaled fitness platform (Peloton Inc, 2019). To illustrate this performance, for fiscal 2017, 2018, and 2019, the firm generated total revenue of $218.6 million, $435.0 million, and $915.0 million, respectively, representing 99.0% and 110.3% year-over-year growth. Nonetheless, they incurred net losses of $(71.1) million, $(47.9) million, and $(195.6) million, respectively (Peloton Inc, 2019). However, as of June 30, 2017, June 30, 2018, and June 30, 2019, Peloton had 107,708, 245,667, and 511,202 Connected Fitness Subscribers, respectively, representing 128.1% and 108.1% year-over-year growth (Peloton Inc, 2019).</w:t>
      </w:r>
    </w:p>
    <w:p w14:paraId="4E7ABFD7" w14:textId="769AC307"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 xml:space="preserve">Peloton’s performance can also be compared to that of three of its close industry competitors, which include Precor, Life Fitness, and Soul Cycle. For instance, while Peloton reported about $200 million in revenue for 2017, with 250,000 subscribers and 500 employees, SoulCycle reported $118M with 383K subscribers and 1,200 employees (Campbell, 2018). In September 2019, while Peloton had made an estimated total revenue of $2.4B, Precor made approximately $426.7M, Life Fitness made about $1B, and Soul Cycle made close to $125M (Owler, 2019). Additionally, in 2020, due to the Covid-19 Pandemic which was accompanied by gym closures, Peloton saw a 66% surge in sales from the previous year, and the firm held its largest class ever, with more than 23,000 people </w:t>
      </w:r>
      <w:r w:rsidRPr="00F304D5">
        <w:rPr>
          <w:rFonts w:ascii="Times New Roman" w:hAnsi="Times New Roman" w:cs="Times New Roman"/>
          <w:sz w:val="24"/>
          <w:szCs w:val="24"/>
          <w:lang w:val="en-US"/>
        </w:rPr>
        <w:lastRenderedPageBreak/>
        <w:t>streaming it from home (Thomas, 2020). This superiority in performance can be attributed to the company</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s disruptive innovation which utilized a hardware-to-subscription model that was never applied before (Campbell, 2018).</w:t>
      </w:r>
    </w:p>
    <w:p w14:paraId="0F80A4BD" w14:textId="5F71CA6A"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From Peloton’s performance, we can make several projections regarding where the company’s performance will be in the next five years. Due to the steady increase in brand awareness over the past three years, we can expect the company’s brand awareness to increase, specifically due to the contribution of social media.  However, the firm’s international expansion has resulted in and will continue to result in, increased costs subject to a variety of risks, including local competition, content localization, multilingual customer support, potentially complex delivery logistics, and compliance with foreign laws and regulations (Peloton Inc, 2019). Moreover, the company will continue to make investments across their business to drive growth, and therefore we expect expenses to increase (Peloton Inc, 2019). They will also continue to invest significant resources in sales and marketing to drive demand for their products and services</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 xml:space="preserve"> thus increasing their total revenue (Peloton Inc, 2019). Nonetheless, as the cost of revenue, operating expenses, and capital expenditures increase as Peloton invests in their business for long-term growth, they are likely to experience additional losses, delaying their ability to achieve profitability and adversely affecting cash flows (Peloton Inc, 2019).</w:t>
      </w:r>
    </w:p>
    <w:p w14:paraId="768F18C6" w14:textId="77777777" w:rsidR="00F401DC" w:rsidRDefault="00F304D5" w:rsidP="001207F0">
      <w:pPr>
        <w:spacing w:line="480" w:lineRule="auto"/>
        <w:jc w:val="center"/>
        <w:rPr>
          <w:rFonts w:ascii="Times New Roman" w:hAnsi="Times New Roman" w:cs="Times New Roman"/>
          <w:b/>
          <w:bCs/>
          <w:sz w:val="24"/>
          <w:szCs w:val="24"/>
          <w:lang w:val="en-US"/>
        </w:rPr>
      </w:pPr>
      <w:r w:rsidRPr="00F304D5">
        <w:rPr>
          <w:rFonts w:ascii="Times New Roman" w:hAnsi="Times New Roman" w:cs="Times New Roman"/>
          <w:b/>
          <w:bCs/>
          <w:sz w:val="24"/>
          <w:szCs w:val="24"/>
          <w:lang w:val="en-US"/>
        </w:rPr>
        <w:t>Peloton’s Global Strategy and Avenues for Competitiveness</w:t>
      </w:r>
    </w:p>
    <w:p w14:paraId="5220908E" w14:textId="77777777" w:rsidR="00F401DC" w:rsidRDefault="00F401DC" w:rsidP="001207F0">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The Company’s </w:t>
      </w:r>
      <w:r w:rsidR="00F304D5" w:rsidRPr="00F304D5">
        <w:rPr>
          <w:rFonts w:ascii="Times New Roman" w:hAnsi="Times New Roman" w:cs="Times New Roman"/>
          <w:b/>
          <w:sz w:val="24"/>
          <w:szCs w:val="24"/>
          <w:lang w:val="en-US"/>
        </w:rPr>
        <w:t>Global Strategy</w:t>
      </w:r>
    </w:p>
    <w:p w14:paraId="0AF87AD6" w14:textId="2B6F3A39"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 xml:space="preserve">An analysis of Peloton’s global strategy will firstly determine the attractiveness of the overseas market to the company (Grant, 2016). With more than 174 million people belonging to gyms globally, there is a significant opportunity for Peloton to grow internationally (Peloton Inc, 2019). In 2018, Peloton began its international expansion and brought the </w:t>
      </w:r>
      <w:r w:rsidRPr="00F304D5">
        <w:rPr>
          <w:rFonts w:ascii="Times New Roman" w:hAnsi="Times New Roman" w:cs="Times New Roman"/>
          <w:sz w:val="24"/>
          <w:szCs w:val="24"/>
          <w:lang w:val="en-US"/>
        </w:rPr>
        <w:lastRenderedPageBreak/>
        <w:t>Peloton experience to the United Kingdom and Canada (Peloton Inc, 2019). With their expansion into Germany in the winter of 2019, Peloton penetrated one of the largest fitness markets in the world (Peloton Inc, 2019). As such, the firm aims to continue pursuing disciplined international expansion by targeting countries with high fitness penetration and spend, the presence of boutique fitness, and where we believe the Peloton value proposition will resonate (Peloton Inc, 2019). The massive and growing global health and wellness industry was attractive to the firm since</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 xml:space="preserve"> according to a 2018 report by the Global Wellness Institute, the total global spend on the wellness industry in 2017 was $4.2 trillion (Peloton Inc, 2019). Of this, the global spend on fitness and certain categories of wellness, including meditation and yoga, represented nearly $600 billion (Peloton Inc, 2019). The global wellness industry was therefore appealing to Peloton.</w:t>
      </w:r>
    </w:p>
    <w:p w14:paraId="627C09AF" w14:textId="650CD68B"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Peloton</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s globalization strategy aims to exploit market opportunities outside the United States, particularly in the UK, Canada, and Germany. According to the International Health, Racquet &amp; Sports</w:t>
      </w:r>
      <w:r w:rsidR="000D33F9">
        <w:rPr>
          <w:rFonts w:ascii="Times New Roman" w:hAnsi="Times New Roman" w:cs="Times New Roman"/>
          <w:sz w:val="24"/>
          <w:szCs w:val="24"/>
          <w:lang w:val="en-US"/>
        </w:rPr>
        <w:t xml:space="preserve"> C</w:t>
      </w:r>
      <w:r w:rsidRPr="00F304D5">
        <w:rPr>
          <w:rFonts w:ascii="Times New Roman" w:hAnsi="Times New Roman" w:cs="Times New Roman"/>
          <w:sz w:val="24"/>
          <w:szCs w:val="24"/>
          <w:lang w:val="en-US"/>
        </w:rPr>
        <w:t>lub Association, or IHRSA, 183 million and 62 million people had gym memberships globally and in the United States, respectively, as of 2018 (Peloton Inc, 2019). Additionally, it was aimed at exploiting resources outside the United States, such as the availability of cost-effective labor in Taiwan.  Fundamentally, their international growth was based on their ability to sell Connected Fitness Products and associated Connected Fitness Subscriptions in international markets (Peloton Inc, 2019). As such, their international expansion resulted in, and will continue to result in, increased costs and is subject to a variety of risks, including local competition, content localization, multilingual customer support, potentially complex delivery logistics, and compliance with foreign laws and regulations (Peloton Inc, 2019). In this expansion, Peloton’s international strategy involved both direct investment and exports through their fitness equipment.</w:t>
      </w:r>
    </w:p>
    <w:p w14:paraId="4C308D02" w14:textId="0B1CECB3"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lastRenderedPageBreak/>
        <w:t xml:space="preserve">According to Grant (2016), globalization occurs through two sequential processes, beginning with the exporting of products to countries with the least “psychic distance” from their home markets (i.e., geographically or culturally close), then broadening and deepening their engagement, and eventually establishing manufacturing subsidiaries in foreign markets. Peloton followed this sequence by first exporting their products to </w:t>
      </w:r>
      <w:r w:rsidR="00B85ECB">
        <w:rPr>
          <w:rFonts w:ascii="Times New Roman" w:hAnsi="Times New Roman" w:cs="Times New Roman"/>
          <w:sz w:val="24"/>
          <w:szCs w:val="24"/>
          <w:lang w:val="en-US"/>
        </w:rPr>
        <w:t xml:space="preserve">the </w:t>
      </w:r>
      <w:r w:rsidRPr="00F304D5">
        <w:rPr>
          <w:rFonts w:ascii="Times New Roman" w:hAnsi="Times New Roman" w:cs="Times New Roman"/>
          <w:sz w:val="24"/>
          <w:szCs w:val="24"/>
          <w:lang w:val="en-US"/>
        </w:rPr>
        <w:t>U</w:t>
      </w:r>
      <w:r w:rsidR="00B85ECB">
        <w:rPr>
          <w:rFonts w:ascii="Times New Roman" w:hAnsi="Times New Roman" w:cs="Times New Roman"/>
          <w:sz w:val="24"/>
          <w:szCs w:val="24"/>
          <w:lang w:val="en-US"/>
        </w:rPr>
        <w:t>.K.</w:t>
      </w:r>
      <w:r w:rsidRPr="00F304D5">
        <w:rPr>
          <w:rFonts w:ascii="Times New Roman" w:hAnsi="Times New Roman" w:cs="Times New Roman"/>
          <w:sz w:val="24"/>
          <w:szCs w:val="24"/>
          <w:lang w:val="en-US"/>
        </w:rPr>
        <w:t xml:space="preserve"> and Canada in 2018, followed by Germany in 2019 (Peloton Inc, 2019). While Canada is geographically close to the United States, the U</w:t>
      </w:r>
      <w:r w:rsidR="00B85ECB">
        <w:rPr>
          <w:rFonts w:ascii="Times New Roman" w:hAnsi="Times New Roman" w:cs="Times New Roman"/>
          <w:sz w:val="24"/>
          <w:szCs w:val="24"/>
          <w:lang w:val="en-US"/>
        </w:rPr>
        <w:t>.K.</w:t>
      </w:r>
      <w:r w:rsidRPr="00F304D5">
        <w:rPr>
          <w:rFonts w:ascii="Times New Roman" w:hAnsi="Times New Roman" w:cs="Times New Roman"/>
          <w:sz w:val="24"/>
          <w:szCs w:val="24"/>
          <w:lang w:val="en-US"/>
        </w:rPr>
        <w:t xml:space="preserve"> and Germany share some cultural similarities with the United States such as all of them having a high uncertainty avoidance score on the Hofstede scale (Grant, 2016). Additionally, the US, Canada, and the U</w:t>
      </w:r>
      <w:r w:rsidR="00B85ECB">
        <w:rPr>
          <w:rFonts w:ascii="Times New Roman" w:hAnsi="Times New Roman" w:cs="Times New Roman"/>
          <w:sz w:val="24"/>
          <w:szCs w:val="24"/>
          <w:lang w:val="en-US"/>
        </w:rPr>
        <w:t>.K.</w:t>
      </w:r>
      <w:r w:rsidRPr="00F304D5">
        <w:rPr>
          <w:rFonts w:ascii="Times New Roman" w:hAnsi="Times New Roman" w:cs="Times New Roman"/>
          <w:sz w:val="24"/>
          <w:szCs w:val="24"/>
          <w:lang w:val="en-US"/>
        </w:rPr>
        <w:t xml:space="preserve"> all rank highly on individualism, while the US, Germany, and the U</w:t>
      </w:r>
      <w:r w:rsidR="00B85ECB">
        <w:rPr>
          <w:rFonts w:ascii="Times New Roman" w:hAnsi="Times New Roman" w:cs="Times New Roman"/>
          <w:sz w:val="24"/>
          <w:szCs w:val="24"/>
          <w:lang w:val="en-US"/>
        </w:rPr>
        <w:t>.K.</w:t>
      </w:r>
      <w:r w:rsidRPr="00F304D5">
        <w:rPr>
          <w:rFonts w:ascii="Times New Roman" w:hAnsi="Times New Roman" w:cs="Times New Roman"/>
          <w:sz w:val="24"/>
          <w:szCs w:val="24"/>
          <w:lang w:val="en-US"/>
        </w:rPr>
        <w:t xml:space="preserve"> are Universalist societies (relationships are governed by standard rules) (Grant, 2016). Also, Europe is the territorial area where attention to wellness in all its facets is most active (Gazzola et al</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 2020).</w:t>
      </w:r>
    </w:p>
    <w:p w14:paraId="41296890" w14:textId="2F1CA222"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 xml:space="preserve">The global strategy of Peloton has been managed to make a new trendy need for consumers (Gazzola et al, 2020). However, fitness was not previously perceived as trendy, but it later generated a strong demand first in the USA and subsequently in </w:t>
      </w:r>
      <w:r w:rsidR="00B85ECB">
        <w:rPr>
          <w:rFonts w:ascii="Times New Roman" w:hAnsi="Times New Roman" w:cs="Times New Roman"/>
          <w:sz w:val="24"/>
          <w:szCs w:val="24"/>
          <w:lang w:val="en-US"/>
        </w:rPr>
        <w:t xml:space="preserve">the </w:t>
      </w:r>
      <w:r w:rsidRPr="00F304D5">
        <w:rPr>
          <w:rFonts w:ascii="Times New Roman" w:hAnsi="Times New Roman" w:cs="Times New Roman"/>
          <w:sz w:val="24"/>
          <w:szCs w:val="24"/>
          <w:lang w:val="en-US"/>
        </w:rPr>
        <w:t>U</w:t>
      </w:r>
      <w:r w:rsidR="00B85ECB">
        <w:rPr>
          <w:rFonts w:ascii="Times New Roman" w:hAnsi="Times New Roman" w:cs="Times New Roman"/>
          <w:sz w:val="24"/>
          <w:szCs w:val="24"/>
          <w:lang w:val="en-US"/>
        </w:rPr>
        <w:t>.K.</w:t>
      </w:r>
      <w:r w:rsidRPr="00F304D5">
        <w:rPr>
          <w:rFonts w:ascii="Times New Roman" w:hAnsi="Times New Roman" w:cs="Times New Roman"/>
          <w:sz w:val="24"/>
          <w:szCs w:val="24"/>
          <w:lang w:val="en-US"/>
        </w:rPr>
        <w:t xml:space="preserve"> and Germany (Gazzola et al, 2020). The technological skills of the Peloton R&amp;D division have allowed the company to conceive and develop an innovative O</w:t>
      </w:r>
      <w:r w:rsidR="00B85ECB">
        <w:rPr>
          <w:rFonts w:ascii="Times New Roman" w:hAnsi="Times New Roman" w:cs="Times New Roman"/>
          <w:sz w:val="24"/>
          <w:szCs w:val="24"/>
          <w:lang w:val="en-US"/>
        </w:rPr>
        <w:t>.S.</w:t>
      </w:r>
      <w:r w:rsidRPr="00F304D5">
        <w:rPr>
          <w:rFonts w:ascii="Times New Roman" w:hAnsi="Times New Roman" w:cs="Times New Roman"/>
          <w:sz w:val="24"/>
          <w:szCs w:val="24"/>
          <w:lang w:val="en-US"/>
        </w:rPr>
        <w:t xml:space="preserve"> architecture, which has been considered one of the most valid in the sector (Gazzola et al</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 2020). More so, it allows Peloton to effectively manage participating sports from all over the world in a single large network without delays or absence of signal due to great connectivity (Gazzola et al</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 2020). In a high target sector, such as workplace fitness, many professionals do not necessarily have the opportunity to attend gyms because of the lack of time (Gazzola et al</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 2020). Thus, buying this kind of product could be useful (Gazzola et al</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 xml:space="preserve">, 2020). The company is based in New York and its value proposition consists of the supply of a stationary or gym bike, which is equipped with the latest generation screen that provides access to multimedia training </w:t>
      </w:r>
      <w:r w:rsidRPr="00F304D5">
        <w:rPr>
          <w:rFonts w:ascii="Times New Roman" w:hAnsi="Times New Roman" w:cs="Times New Roman"/>
          <w:sz w:val="24"/>
          <w:szCs w:val="24"/>
          <w:lang w:val="en-US"/>
        </w:rPr>
        <w:lastRenderedPageBreak/>
        <w:t>programs provided by the company which is broadcasted live or recorded in studios situated in USA and U</w:t>
      </w:r>
      <w:r w:rsidR="00B85ECB">
        <w:rPr>
          <w:rFonts w:ascii="Times New Roman" w:hAnsi="Times New Roman" w:cs="Times New Roman"/>
          <w:sz w:val="24"/>
          <w:szCs w:val="24"/>
          <w:lang w:val="en-US"/>
        </w:rPr>
        <w:t>.K.</w:t>
      </w:r>
      <w:r w:rsidRPr="00F304D5">
        <w:rPr>
          <w:rFonts w:ascii="Times New Roman" w:hAnsi="Times New Roman" w:cs="Times New Roman"/>
          <w:sz w:val="24"/>
          <w:szCs w:val="24"/>
          <w:lang w:val="en-US"/>
        </w:rPr>
        <w:t xml:space="preserve"> (Gazzola et al</w:t>
      </w:r>
      <w:r w:rsidR="00B85ECB">
        <w:rPr>
          <w:rFonts w:ascii="Times New Roman" w:hAnsi="Times New Roman" w:cs="Times New Roman"/>
          <w:sz w:val="24"/>
          <w:szCs w:val="24"/>
          <w:lang w:val="en-US"/>
        </w:rPr>
        <w:t>.</w:t>
      </w:r>
      <w:r w:rsidRPr="00F304D5">
        <w:rPr>
          <w:rFonts w:ascii="Times New Roman" w:hAnsi="Times New Roman" w:cs="Times New Roman"/>
          <w:sz w:val="24"/>
          <w:szCs w:val="24"/>
          <w:lang w:val="en-US"/>
        </w:rPr>
        <w:t>, 2020).</w:t>
      </w:r>
    </w:p>
    <w:p w14:paraId="0AFC7F61" w14:textId="77777777" w:rsidR="00F401DC" w:rsidRDefault="00F304D5" w:rsidP="001207F0">
      <w:pPr>
        <w:spacing w:line="480" w:lineRule="auto"/>
        <w:rPr>
          <w:rFonts w:ascii="Times New Roman" w:hAnsi="Times New Roman" w:cs="Times New Roman"/>
          <w:b/>
          <w:sz w:val="24"/>
          <w:szCs w:val="24"/>
          <w:lang w:val="en-US"/>
        </w:rPr>
      </w:pPr>
      <w:r w:rsidRPr="00F304D5">
        <w:rPr>
          <w:rFonts w:ascii="Times New Roman" w:hAnsi="Times New Roman" w:cs="Times New Roman"/>
          <w:b/>
          <w:sz w:val="24"/>
          <w:szCs w:val="24"/>
          <w:lang w:val="en-US"/>
        </w:rPr>
        <w:t>How Peloton can Remain Competitive in the Global Market</w:t>
      </w:r>
    </w:p>
    <w:p w14:paraId="09870B10" w14:textId="77777777"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Peloton’s expansion into the global market requires certain measures that will enable the firm to remain competitive. Firstly, the company should wisely allocate its resources to effectively establish and manage the increased operations, travel, infrastructure, including the establishment of local delivery service and customer service operations, and legal compliance costs associated with locations in different countries or regions (Peloton Inc, 2019). Additionally, the firm should enhance its ability to adapt and localize products for specific countries, including obtaining rights to third-party intellectual property such as the music used in each country (Peloton Inc, 2019). Furthermore, the firm should create adequate measures to protect and enforce intellectual property rights abroad, as well as offer content and customer support in various languages (Peloton Inc, 2019). Also, Peloton should maintain its compliance with international laws, such as the U.S. Foreign Corrupt Practices Act, or FCPA, and the U.K. Bribery Act 2010, or U.K. Bribery Act, and other legal requirements related to consumer protection, consumer product safety, and data privacy frameworks, such as the E.U. General Data Protection Regulation (Peloton Inc, 2019).</w:t>
      </w:r>
    </w:p>
    <w:p w14:paraId="732C526D" w14:textId="77777777"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 xml:space="preserve">To maintain their competitiveness in the global industry, Peloton also has to create and sustain a suitable organizational culture. Fundamentally, this culture should be based on their primary values, which include putting their members first, empowering their team members, promoting inclusivity, and supporting consistent improvement (Peloton Inc, 2019). With globalization, the firm needs to maintain this culture among a larger number of employees, dispersed across various geographic regions (Peloton Inc, 2019). Any failure to preserve their culture could negatively affect the future success, including the ability to retain </w:t>
      </w:r>
      <w:r w:rsidRPr="00F304D5">
        <w:rPr>
          <w:rFonts w:ascii="Times New Roman" w:hAnsi="Times New Roman" w:cs="Times New Roman"/>
          <w:sz w:val="24"/>
          <w:szCs w:val="24"/>
          <w:lang w:val="en-US"/>
        </w:rPr>
        <w:lastRenderedPageBreak/>
        <w:t>and recruit personnel and to effectively focus on and pursue their corporate objectives (Peloton Inc, 2019). As such, the firm should establish its goals and objectives which should also form a foundation for the organizational culture.</w:t>
      </w:r>
    </w:p>
    <w:p w14:paraId="7A71B222" w14:textId="195DE831"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Additionally, globalization requires Peloton to promote innovativeness to remain competitive. For instance, the firm should consistently improve its Research and Development departments and new product development methods (Grant, 2016). Also, the highly competitive environment requires an enhanced ability to produce innovative products that should be introduced promptly. As such, Peloton should seek to constantly employ the most qualified employees, and enhance their ability to attract, integrate, and retain qualified personnel who have high creative and innovative potentials (Peloton Inc, 2019). Furthermore, Peloton should establish open channels of communication within the firms, which should be horizontal as opposed to top-down commands. In this, the firm should create sustainable leadership and management strategies, with leaders being routinely assessed for competitiveness. Employee satisfaction and autonomy should also be promoted by the firm to reduce work stress and create a friendly working environment which is essential to innovation (Peloton Inc, 2019).</w:t>
      </w:r>
    </w:p>
    <w:p w14:paraId="7EBB21E8" w14:textId="77777777"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 xml:space="preserve">In the implementation of their global strategy, Peloton has to employ a customer-based model to better respond to changes due to customer preferences. Peloton’s business and revenue growth are primarily dependent on its ability to continuously attract and retain subscribers (Peloton Inc, 2019). As such, the firm should consistently introduce new features, products, or services that members find engaging or make appropriate changes to existing products and services that are not favorably received (Peloton Inc, 2019). Furthermore, expansion into international markets requires that the firm enhances its ability to identify and originate trends as well as to anticipate and react to changing consumer demands on time (Peloton Inc, 2019). Therefore, the firm should introduce new or enhanced offerings on time, </w:t>
      </w:r>
      <w:r w:rsidRPr="00F304D5">
        <w:rPr>
          <w:rFonts w:ascii="Times New Roman" w:hAnsi="Times New Roman" w:cs="Times New Roman"/>
          <w:sz w:val="24"/>
          <w:szCs w:val="24"/>
          <w:lang w:val="en-US"/>
        </w:rPr>
        <w:lastRenderedPageBreak/>
        <w:t>to outcompete similar products in the markets, and adequately react to and address changes in customer preferences (Peloton Inc, 2019). Nonetheless, the development of new or enhanced products and services may require significant time and financial investment, which could result in increased costs and a reduction in the firm’s profit margins (Peloton Inc, 2019).</w:t>
      </w:r>
    </w:p>
    <w:p w14:paraId="658BEC8B" w14:textId="436ECC2B" w:rsidR="00F401DC" w:rsidRDefault="00F304D5" w:rsidP="001207F0">
      <w:pPr>
        <w:spacing w:line="480" w:lineRule="auto"/>
        <w:ind w:firstLine="720"/>
        <w:rPr>
          <w:rFonts w:ascii="Times New Roman" w:hAnsi="Times New Roman" w:cs="Times New Roman"/>
          <w:sz w:val="24"/>
          <w:szCs w:val="24"/>
          <w:lang w:val="en-US"/>
        </w:rPr>
      </w:pPr>
      <w:r w:rsidRPr="00F304D5">
        <w:rPr>
          <w:rFonts w:ascii="Times New Roman" w:hAnsi="Times New Roman" w:cs="Times New Roman"/>
          <w:sz w:val="24"/>
          <w:szCs w:val="24"/>
          <w:lang w:val="en-US"/>
        </w:rPr>
        <w:t xml:space="preserve">Peloton should also optimize its value chain to promote its competitiveness in a global market. Currently, the firm relies on a limited number of suppliers to manufacture and transport their Connected Fitness Products, and in some cases, there exists only a single supplier for some of our products and components (Peloton Inc, 2019). This reliance on a limited number of manufacturers increases the risks since the company does not currently have alternative or replacement manufacturers beyond these key parties (Peloton Inc, 2019). In the event of interruption from any of our manufacturers, Peloton may not be able to increase capacity from other sources or develop alternate or secondary sources without incurring </w:t>
      </w:r>
      <w:r w:rsidR="00B85ECB">
        <w:rPr>
          <w:rFonts w:ascii="Times New Roman" w:hAnsi="Times New Roman" w:cs="Times New Roman"/>
          <w:sz w:val="24"/>
          <w:szCs w:val="24"/>
          <w:lang w:val="en-US"/>
        </w:rPr>
        <w:t>additional materi</w:t>
      </w:r>
      <w:r w:rsidRPr="00F304D5">
        <w:rPr>
          <w:rFonts w:ascii="Times New Roman" w:hAnsi="Times New Roman" w:cs="Times New Roman"/>
          <w:sz w:val="24"/>
          <w:szCs w:val="24"/>
          <w:lang w:val="en-US"/>
        </w:rPr>
        <w:t>al costs and substantial delays (Peloton Inc, 2019). Furthermore, all of these manufacturers’ primary facilities are located in Taiwan (Peloton Inc, 2019. Thus, their business could be adversely affected if one or more of the suppliers is impacted by a natural disaster or other interruptions. Consequently, the firm should increase its suppliers to minimize such risks (Peloton Inc, 2019).</w:t>
      </w:r>
    </w:p>
    <w:p w14:paraId="39D7C03D" w14:textId="77777777" w:rsidR="001207F0" w:rsidRDefault="001207F0" w:rsidP="001207F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27EAA15" w14:textId="16B506EF" w:rsidR="00F401DC" w:rsidRDefault="00F304D5" w:rsidP="001207F0">
      <w:pPr>
        <w:spacing w:line="480" w:lineRule="auto"/>
        <w:jc w:val="center"/>
        <w:rPr>
          <w:rFonts w:ascii="Times New Roman" w:hAnsi="Times New Roman" w:cs="Times New Roman"/>
          <w:bCs/>
          <w:sz w:val="24"/>
          <w:szCs w:val="24"/>
          <w:lang w:val="en-US"/>
        </w:rPr>
      </w:pPr>
      <w:r w:rsidRPr="00F304D5">
        <w:rPr>
          <w:rFonts w:ascii="Times New Roman" w:hAnsi="Times New Roman" w:cs="Times New Roman"/>
          <w:bCs/>
          <w:sz w:val="24"/>
          <w:szCs w:val="24"/>
          <w:lang w:val="en-US"/>
        </w:rPr>
        <w:lastRenderedPageBreak/>
        <w:t>References</w:t>
      </w:r>
    </w:p>
    <w:p w14:paraId="3F909228" w14:textId="0C9B78D9" w:rsidR="0056611E" w:rsidRDefault="0056611E" w:rsidP="001207F0">
      <w:pPr>
        <w:spacing w:line="480" w:lineRule="auto"/>
        <w:ind w:left="720" w:hanging="720"/>
        <w:rPr>
          <w:rFonts w:ascii="Times New Roman" w:hAnsi="Times New Roman" w:cs="Times New Roman"/>
          <w:bCs/>
          <w:sz w:val="24"/>
          <w:szCs w:val="24"/>
          <w:lang w:val="en-US"/>
        </w:rPr>
      </w:pPr>
      <w:r w:rsidRPr="00F304D5">
        <w:rPr>
          <w:rFonts w:ascii="Times New Roman" w:hAnsi="Times New Roman" w:cs="Times New Roman"/>
          <w:bCs/>
          <w:sz w:val="24"/>
          <w:szCs w:val="24"/>
          <w:lang w:val="en-US"/>
        </w:rPr>
        <w:t>Campbell, P. (2018). SoulCycle vs</w:t>
      </w:r>
      <w:r w:rsidR="00B85ECB">
        <w:rPr>
          <w:rFonts w:ascii="Times New Roman" w:hAnsi="Times New Roman" w:cs="Times New Roman"/>
          <w:bCs/>
          <w:sz w:val="24"/>
          <w:szCs w:val="24"/>
          <w:lang w:val="en-US"/>
        </w:rPr>
        <w:t>.</w:t>
      </w:r>
      <w:r w:rsidRPr="00F304D5">
        <w:rPr>
          <w:rFonts w:ascii="Times New Roman" w:hAnsi="Times New Roman" w:cs="Times New Roman"/>
          <w:bCs/>
          <w:sz w:val="24"/>
          <w:szCs w:val="24"/>
          <w:lang w:val="en-US"/>
        </w:rPr>
        <w:t xml:space="preserve"> Peloton Bike Pricing </w:t>
      </w:r>
      <w:r w:rsidR="000D33F9" w:rsidRPr="00F304D5">
        <w:rPr>
          <w:rFonts w:ascii="Times New Roman" w:hAnsi="Times New Roman" w:cs="Times New Roman"/>
          <w:bCs/>
          <w:sz w:val="24"/>
          <w:szCs w:val="24"/>
          <w:lang w:val="en-US"/>
        </w:rPr>
        <w:t>Compared:</w:t>
      </w:r>
      <w:r w:rsidRPr="00F304D5">
        <w:rPr>
          <w:rFonts w:ascii="Times New Roman" w:hAnsi="Times New Roman" w:cs="Times New Roman"/>
          <w:bCs/>
          <w:sz w:val="24"/>
          <w:szCs w:val="24"/>
          <w:lang w:val="en-US"/>
        </w:rPr>
        <w:t xml:space="preserve"> Which Model is Better? </w:t>
      </w:r>
      <w:r w:rsidRPr="00F304D5">
        <w:rPr>
          <w:rFonts w:ascii="Times New Roman" w:hAnsi="Times New Roman" w:cs="Times New Roman"/>
          <w:bCs/>
          <w:i/>
          <w:sz w:val="24"/>
          <w:szCs w:val="24"/>
          <w:lang w:val="en-US"/>
        </w:rPr>
        <w:t>Profitwell.</w:t>
      </w:r>
      <w:r>
        <w:rPr>
          <w:rFonts w:ascii="Times New Roman" w:hAnsi="Times New Roman" w:cs="Times New Roman"/>
          <w:bCs/>
          <w:sz w:val="24"/>
          <w:szCs w:val="24"/>
          <w:lang w:val="en-US"/>
        </w:rPr>
        <w:t xml:space="preserve"> Retrieved from </w:t>
      </w:r>
      <w:hyperlink r:id="rId6" w:history="1">
        <w:r w:rsidRPr="00F304D5">
          <w:rPr>
            <w:rStyle w:val="Hyperlink"/>
            <w:rFonts w:ascii="Times New Roman" w:hAnsi="Times New Roman" w:cs="Times New Roman"/>
            <w:bCs/>
            <w:sz w:val="24"/>
            <w:szCs w:val="24"/>
            <w:lang w:val="en-US"/>
          </w:rPr>
          <w:t>https://www.profitwell.com/recur/all/pricing-page-teardown-peloton-soulcycle#:~:text=Peloton%20reported%20%24170%20million%20in,383K%20subscribers%20and%201%2C200%20employees</w:t>
        </w:r>
      </w:hyperlink>
    </w:p>
    <w:p w14:paraId="2843E2F9" w14:textId="78362C4A" w:rsidR="0056611E" w:rsidRDefault="0056611E" w:rsidP="001207F0">
      <w:pPr>
        <w:spacing w:line="480" w:lineRule="auto"/>
        <w:ind w:left="720" w:hanging="720"/>
        <w:rPr>
          <w:rFonts w:ascii="Times New Roman" w:hAnsi="Times New Roman" w:cs="Times New Roman"/>
          <w:bCs/>
          <w:sz w:val="24"/>
          <w:szCs w:val="24"/>
          <w:lang w:val="en-US"/>
        </w:rPr>
      </w:pPr>
      <w:r w:rsidRPr="00F304D5">
        <w:rPr>
          <w:rFonts w:ascii="Times New Roman" w:hAnsi="Times New Roman" w:cs="Times New Roman"/>
          <w:bCs/>
          <w:sz w:val="24"/>
          <w:szCs w:val="24"/>
          <w:lang w:val="en-US"/>
        </w:rPr>
        <w:t xml:space="preserve">Gazzola, P., Pavione, E., Grechi, D., &amp; Ferrazzano, </w:t>
      </w:r>
      <w:r w:rsidR="000D33F9" w:rsidRPr="00F304D5">
        <w:rPr>
          <w:rFonts w:ascii="Times New Roman" w:hAnsi="Times New Roman" w:cs="Times New Roman"/>
          <w:bCs/>
          <w:sz w:val="24"/>
          <w:szCs w:val="24"/>
          <w:lang w:val="en-US"/>
        </w:rPr>
        <w:t>F. (</w:t>
      </w:r>
      <w:r w:rsidRPr="00F304D5">
        <w:rPr>
          <w:rFonts w:ascii="Times New Roman" w:hAnsi="Times New Roman" w:cs="Times New Roman"/>
          <w:bCs/>
          <w:sz w:val="24"/>
          <w:szCs w:val="24"/>
          <w:lang w:val="en-US"/>
        </w:rPr>
        <w:t>2020). A Worldwide Overview of the Wellness Economy Market: The Technogym and Peloton Case Studies.</w:t>
      </w:r>
    </w:p>
    <w:p w14:paraId="4F672726" w14:textId="77777777" w:rsidR="0056611E" w:rsidRDefault="0056611E" w:rsidP="001207F0">
      <w:pPr>
        <w:spacing w:line="480" w:lineRule="auto"/>
        <w:ind w:left="720" w:hanging="720"/>
        <w:rPr>
          <w:rFonts w:ascii="Times New Roman" w:hAnsi="Times New Roman" w:cs="Times New Roman"/>
          <w:sz w:val="24"/>
          <w:szCs w:val="24"/>
          <w:lang w:val="en-US"/>
        </w:rPr>
      </w:pPr>
      <w:r w:rsidRPr="00F304D5">
        <w:rPr>
          <w:rFonts w:ascii="Times New Roman" w:hAnsi="Times New Roman" w:cs="Times New Roman"/>
          <w:sz w:val="24"/>
          <w:szCs w:val="24"/>
          <w:lang w:val="en-US"/>
        </w:rPr>
        <w:t>Grant, R. M. (2016). </w:t>
      </w:r>
      <w:r w:rsidRPr="00F304D5">
        <w:rPr>
          <w:rFonts w:ascii="Times New Roman" w:hAnsi="Times New Roman" w:cs="Times New Roman"/>
          <w:i/>
          <w:iCs/>
          <w:sz w:val="24"/>
          <w:szCs w:val="24"/>
          <w:lang w:val="en-US"/>
        </w:rPr>
        <w:t>Contemporary strategy analysis: Text and cases edition</w:t>
      </w:r>
      <w:r w:rsidRPr="00F304D5">
        <w:rPr>
          <w:rFonts w:ascii="Times New Roman" w:hAnsi="Times New Roman" w:cs="Times New Roman"/>
          <w:sz w:val="24"/>
          <w:szCs w:val="24"/>
          <w:lang w:val="en-US"/>
        </w:rPr>
        <w:t>. 9</w:t>
      </w:r>
      <w:r w:rsidRPr="00F304D5">
        <w:rPr>
          <w:rFonts w:ascii="Times New Roman" w:hAnsi="Times New Roman" w:cs="Times New Roman"/>
          <w:sz w:val="24"/>
          <w:szCs w:val="24"/>
          <w:vertAlign w:val="superscript"/>
          <w:lang w:val="en-US"/>
        </w:rPr>
        <w:t>th</w:t>
      </w:r>
      <w:r w:rsidRPr="00F304D5">
        <w:rPr>
          <w:rFonts w:ascii="Times New Roman" w:hAnsi="Times New Roman" w:cs="Times New Roman"/>
          <w:sz w:val="24"/>
          <w:szCs w:val="24"/>
          <w:lang w:val="en-US"/>
        </w:rPr>
        <w:t xml:space="preserve"> Edition. John Wiley &amp; Sons.</w:t>
      </w:r>
    </w:p>
    <w:p w14:paraId="4355BB97" w14:textId="77777777" w:rsidR="0056611E" w:rsidRDefault="0056611E" w:rsidP="001207F0">
      <w:pPr>
        <w:spacing w:line="480" w:lineRule="auto"/>
        <w:ind w:left="720" w:hanging="720"/>
        <w:rPr>
          <w:rFonts w:ascii="Times New Roman" w:hAnsi="Times New Roman" w:cs="Times New Roman"/>
          <w:sz w:val="24"/>
          <w:szCs w:val="24"/>
          <w:lang w:val="en-US"/>
        </w:rPr>
      </w:pPr>
      <w:r w:rsidRPr="00F304D5">
        <w:rPr>
          <w:rFonts w:ascii="Times New Roman" w:hAnsi="Times New Roman" w:cs="Times New Roman"/>
          <w:bCs/>
          <w:sz w:val="24"/>
          <w:szCs w:val="24"/>
          <w:lang w:val="en-US"/>
        </w:rPr>
        <w:t>Owler. (2019). Peloton.</w:t>
      </w:r>
      <w:r w:rsidRPr="00F304D5">
        <w:rPr>
          <w:rFonts w:ascii="Times New Roman" w:hAnsi="Times New Roman" w:cs="Times New Roman"/>
          <w:b/>
          <w:bCs/>
          <w:sz w:val="24"/>
          <w:szCs w:val="24"/>
          <w:lang w:val="en-US"/>
        </w:rPr>
        <w:t xml:space="preserve"> </w:t>
      </w:r>
      <w:hyperlink r:id="rId7" w:history="1">
        <w:r w:rsidRPr="00F304D5">
          <w:rPr>
            <w:rStyle w:val="Hyperlink"/>
            <w:rFonts w:ascii="Times New Roman" w:hAnsi="Times New Roman" w:cs="Times New Roman"/>
            <w:bCs/>
            <w:sz w:val="24"/>
            <w:szCs w:val="24"/>
            <w:lang w:val="en-US"/>
          </w:rPr>
          <w:t>https://www.owler.com/company/onepeloton</w:t>
        </w:r>
      </w:hyperlink>
    </w:p>
    <w:p w14:paraId="4B0A6114" w14:textId="77777777" w:rsidR="0056611E" w:rsidRDefault="0056611E" w:rsidP="001207F0">
      <w:pPr>
        <w:spacing w:line="480" w:lineRule="auto"/>
        <w:ind w:left="720" w:hanging="720"/>
        <w:rPr>
          <w:rFonts w:ascii="Times New Roman" w:hAnsi="Times New Roman" w:cs="Times New Roman"/>
          <w:bCs/>
          <w:sz w:val="24"/>
          <w:szCs w:val="24"/>
          <w:lang w:val="en-US"/>
        </w:rPr>
      </w:pPr>
      <w:r w:rsidRPr="00F304D5">
        <w:rPr>
          <w:rFonts w:ascii="Times New Roman" w:hAnsi="Times New Roman" w:cs="Times New Roman"/>
          <w:bCs/>
          <w:sz w:val="24"/>
          <w:szCs w:val="24"/>
          <w:lang w:val="en-US"/>
        </w:rPr>
        <w:t>Peloton Inc. (2019). Form s-1 Registration Statement.</w:t>
      </w:r>
      <w:r>
        <w:rPr>
          <w:rFonts w:ascii="Times New Roman" w:hAnsi="Times New Roman" w:cs="Times New Roman"/>
          <w:bCs/>
          <w:sz w:val="24"/>
          <w:szCs w:val="24"/>
          <w:lang w:val="en-US"/>
        </w:rPr>
        <w:t xml:space="preserve"> </w:t>
      </w:r>
      <w:hyperlink r:id="rId8" w:history="1">
        <w:r w:rsidRPr="00F304D5">
          <w:rPr>
            <w:rStyle w:val="Hyperlink"/>
            <w:rFonts w:ascii="Times New Roman" w:hAnsi="Times New Roman" w:cs="Times New Roman"/>
            <w:bCs/>
            <w:sz w:val="24"/>
            <w:szCs w:val="24"/>
            <w:lang w:val="en-US"/>
          </w:rPr>
          <w:t>https://www.sec.gov/Archives/edgar/data/1639825/000119312519230923/d738839ds1.htm</w:t>
        </w:r>
      </w:hyperlink>
    </w:p>
    <w:p w14:paraId="683B1235" w14:textId="77777777" w:rsidR="0056611E" w:rsidRPr="00F304D5" w:rsidRDefault="0056611E" w:rsidP="001207F0">
      <w:pPr>
        <w:spacing w:line="480" w:lineRule="auto"/>
        <w:ind w:left="720" w:hanging="720"/>
        <w:rPr>
          <w:rFonts w:ascii="Times New Roman" w:hAnsi="Times New Roman" w:cs="Times New Roman"/>
          <w:sz w:val="24"/>
          <w:szCs w:val="24"/>
          <w:lang w:val="en-US"/>
        </w:rPr>
      </w:pPr>
      <w:r w:rsidRPr="00F304D5">
        <w:rPr>
          <w:rFonts w:ascii="Times New Roman" w:hAnsi="Times New Roman" w:cs="Times New Roman"/>
          <w:sz w:val="24"/>
          <w:szCs w:val="24"/>
          <w:lang w:val="en-US"/>
        </w:rPr>
        <w:t xml:space="preserve">Thomas, T. (2020). Peloton sales surge 66%, as more people buy bikes during coronavirus pandemic; shares jump. </w:t>
      </w:r>
      <w:r w:rsidRPr="00F304D5">
        <w:rPr>
          <w:rFonts w:ascii="Times New Roman" w:hAnsi="Times New Roman" w:cs="Times New Roman"/>
          <w:i/>
          <w:sz w:val="24"/>
          <w:szCs w:val="24"/>
          <w:lang w:val="en-US"/>
        </w:rPr>
        <w:t>CNBC.</w:t>
      </w:r>
      <w:r>
        <w:rPr>
          <w:rFonts w:ascii="Times New Roman" w:hAnsi="Times New Roman" w:cs="Times New Roman"/>
          <w:sz w:val="24"/>
          <w:szCs w:val="24"/>
          <w:lang w:val="en-US"/>
        </w:rPr>
        <w:t xml:space="preserve"> Retrieved from </w:t>
      </w:r>
      <w:hyperlink r:id="rId9" w:history="1">
        <w:r w:rsidRPr="00B92566">
          <w:rPr>
            <w:rStyle w:val="Hyperlink"/>
            <w:rFonts w:ascii="Times New Roman" w:hAnsi="Times New Roman" w:cs="Times New Roman"/>
            <w:sz w:val="24"/>
            <w:szCs w:val="24"/>
            <w:lang w:val="en-US"/>
          </w:rPr>
          <w:t>https://www.cnbc.com/2020/05/06/peloton-pton-reports-fiscal-q3-2020-earnings.html</w:t>
        </w:r>
      </w:hyperlink>
    </w:p>
    <w:sectPr w:rsidR="0056611E" w:rsidRPr="00F304D5" w:rsidSect="00F304D5">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A524DA" w14:textId="77777777" w:rsidR="009E7DD8" w:rsidRDefault="009E7DD8" w:rsidP="00F304D5">
      <w:pPr>
        <w:spacing w:after="0" w:line="240" w:lineRule="auto"/>
      </w:pPr>
      <w:r>
        <w:separator/>
      </w:r>
    </w:p>
  </w:endnote>
  <w:endnote w:type="continuationSeparator" w:id="0">
    <w:p w14:paraId="4A65700D" w14:textId="77777777" w:rsidR="009E7DD8" w:rsidRDefault="009E7DD8" w:rsidP="00F30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D19E50" w14:textId="77777777" w:rsidR="009E7DD8" w:rsidRDefault="009E7DD8" w:rsidP="00F304D5">
      <w:pPr>
        <w:spacing w:after="0" w:line="240" w:lineRule="auto"/>
      </w:pPr>
      <w:r>
        <w:separator/>
      </w:r>
    </w:p>
  </w:footnote>
  <w:footnote w:type="continuationSeparator" w:id="0">
    <w:p w14:paraId="1AB363F1" w14:textId="77777777" w:rsidR="009E7DD8" w:rsidRDefault="009E7DD8" w:rsidP="00F30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55088751"/>
      <w:docPartObj>
        <w:docPartGallery w:val="Page Numbers (Top of Page)"/>
        <w:docPartUnique/>
      </w:docPartObj>
    </w:sdtPr>
    <w:sdtEndPr>
      <w:rPr>
        <w:noProof/>
      </w:rPr>
    </w:sdtEndPr>
    <w:sdtContent>
      <w:p w14:paraId="4BA9F442" w14:textId="424A961C" w:rsidR="00F304D5" w:rsidRPr="00F304D5" w:rsidRDefault="00F304D5" w:rsidP="00F304D5">
        <w:pPr>
          <w:pStyle w:val="Header"/>
          <w:jc w:val="right"/>
          <w:rPr>
            <w:rFonts w:ascii="Times New Roman" w:hAnsi="Times New Roman" w:cs="Times New Roman"/>
          </w:rPr>
        </w:pPr>
        <w:r w:rsidRPr="00F304D5">
          <w:rPr>
            <w:rFonts w:ascii="Times New Roman" w:hAnsi="Times New Roman" w:cs="Times New Roman"/>
            <w:lang w:val="en-US"/>
          </w:rPr>
          <w:t>STRATEGIC ANALYSIS OF PELOTON</w:t>
        </w:r>
        <w:r>
          <w:rPr>
            <w:rFonts w:ascii="Times New Roman" w:hAnsi="Times New Roman" w:cs="Times New Roman"/>
          </w:rPr>
          <w:tab/>
        </w:r>
        <w:r>
          <w:rPr>
            <w:rFonts w:ascii="Times New Roman" w:hAnsi="Times New Roman" w:cs="Times New Roman"/>
          </w:rPr>
          <w:tab/>
        </w:r>
        <w:r w:rsidRPr="00F304D5">
          <w:rPr>
            <w:rFonts w:ascii="Times New Roman" w:hAnsi="Times New Roman" w:cs="Times New Roman"/>
          </w:rPr>
          <w:fldChar w:fldCharType="begin"/>
        </w:r>
        <w:r w:rsidRPr="00F304D5">
          <w:rPr>
            <w:rFonts w:ascii="Times New Roman" w:hAnsi="Times New Roman" w:cs="Times New Roman"/>
          </w:rPr>
          <w:instrText xml:space="preserve"> PAGE   \* MERGEFORMAT </w:instrText>
        </w:r>
        <w:r w:rsidRPr="00F304D5">
          <w:rPr>
            <w:rFonts w:ascii="Times New Roman" w:hAnsi="Times New Roman" w:cs="Times New Roman"/>
          </w:rPr>
          <w:fldChar w:fldCharType="separate"/>
        </w:r>
        <w:r w:rsidRPr="00F304D5">
          <w:rPr>
            <w:rFonts w:ascii="Times New Roman" w:hAnsi="Times New Roman" w:cs="Times New Roman"/>
            <w:noProof/>
          </w:rPr>
          <w:t>2</w:t>
        </w:r>
        <w:r w:rsidRPr="00F304D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82995834"/>
      <w:docPartObj>
        <w:docPartGallery w:val="Page Numbers (Top of Page)"/>
        <w:docPartUnique/>
      </w:docPartObj>
    </w:sdtPr>
    <w:sdtEndPr>
      <w:rPr>
        <w:noProof/>
      </w:rPr>
    </w:sdtEndPr>
    <w:sdtContent>
      <w:p w14:paraId="0A5E5442" w14:textId="0F38F0BE" w:rsidR="00F304D5" w:rsidRPr="00F304D5" w:rsidRDefault="00F304D5" w:rsidP="00F304D5">
        <w:pPr>
          <w:pStyle w:val="Header"/>
          <w:jc w:val="right"/>
          <w:rPr>
            <w:rFonts w:ascii="Times New Roman" w:hAnsi="Times New Roman" w:cs="Times New Roman"/>
          </w:rPr>
        </w:pPr>
        <w:r>
          <w:rPr>
            <w:rFonts w:ascii="Times New Roman" w:hAnsi="Times New Roman" w:cs="Times New Roman"/>
            <w:lang w:val="en-US"/>
          </w:rPr>
          <w:t xml:space="preserve">Running head: </w:t>
        </w:r>
        <w:r w:rsidRPr="00F304D5">
          <w:rPr>
            <w:rFonts w:ascii="Times New Roman" w:hAnsi="Times New Roman" w:cs="Times New Roman"/>
            <w:lang w:val="en-US"/>
          </w:rPr>
          <w:t>STRATEGIC ANALYSIS OF PELOTON</w:t>
        </w:r>
        <w:r>
          <w:rPr>
            <w:rFonts w:ascii="Times New Roman" w:hAnsi="Times New Roman" w:cs="Times New Roman"/>
          </w:rPr>
          <w:tab/>
        </w:r>
        <w:r w:rsidRPr="00F304D5">
          <w:rPr>
            <w:rFonts w:ascii="Times New Roman" w:hAnsi="Times New Roman" w:cs="Times New Roman"/>
          </w:rPr>
          <w:fldChar w:fldCharType="begin"/>
        </w:r>
        <w:r w:rsidRPr="00F304D5">
          <w:rPr>
            <w:rFonts w:ascii="Times New Roman" w:hAnsi="Times New Roman" w:cs="Times New Roman"/>
          </w:rPr>
          <w:instrText xml:space="preserve"> PAGE   \* MERGEFORMAT </w:instrText>
        </w:r>
        <w:r w:rsidRPr="00F304D5">
          <w:rPr>
            <w:rFonts w:ascii="Times New Roman" w:hAnsi="Times New Roman" w:cs="Times New Roman"/>
          </w:rPr>
          <w:fldChar w:fldCharType="separate"/>
        </w:r>
        <w:r w:rsidRPr="00F304D5">
          <w:rPr>
            <w:rFonts w:ascii="Times New Roman" w:hAnsi="Times New Roman" w:cs="Times New Roman"/>
            <w:noProof/>
          </w:rPr>
          <w:t>2</w:t>
        </w:r>
        <w:r w:rsidRPr="00F304D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0NbAwMzI0s7A0NjJS0lEKTi0uzszPAykwrAUAGol7HCwAAAA="/>
  </w:docVars>
  <w:rsids>
    <w:rsidRoot w:val="00F304D5"/>
    <w:rsid w:val="000D33F9"/>
    <w:rsid w:val="001207F0"/>
    <w:rsid w:val="0056611E"/>
    <w:rsid w:val="00662CA3"/>
    <w:rsid w:val="009E7DD8"/>
    <w:rsid w:val="00B85ECB"/>
    <w:rsid w:val="00BA407B"/>
    <w:rsid w:val="00BB27C3"/>
    <w:rsid w:val="00ED6DE3"/>
    <w:rsid w:val="00F304D5"/>
    <w:rsid w:val="00F401D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3871AD"/>
  <w15:chartTrackingRefBased/>
  <w15:docId w15:val="{E110F07B-5AB7-4FE0-8FB6-9C3FA3E7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04D5"/>
    <w:rPr>
      <w:color w:val="0563C1" w:themeColor="hyperlink"/>
      <w:u w:val="single"/>
    </w:rPr>
  </w:style>
  <w:style w:type="character" w:styleId="UnresolvedMention">
    <w:name w:val="Unresolved Mention"/>
    <w:basedOn w:val="DefaultParagraphFont"/>
    <w:uiPriority w:val="99"/>
    <w:semiHidden/>
    <w:unhideWhenUsed/>
    <w:rsid w:val="00F304D5"/>
    <w:rPr>
      <w:color w:val="605E5C"/>
      <w:shd w:val="clear" w:color="auto" w:fill="E1DFDD"/>
    </w:rPr>
  </w:style>
  <w:style w:type="paragraph" w:styleId="Header">
    <w:name w:val="header"/>
    <w:basedOn w:val="Normal"/>
    <w:link w:val="HeaderChar"/>
    <w:uiPriority w:val="99"/>
    <w:unhideWhenUsed/>
    <w:rsid w:val="00F304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04D5"/>
  </w:style>
  <w:style w:type="paragraph" w:styleId="Footer">
    <w:name w:val="footer"/>
    <w:basedOn w:val="Normal"/>
    <w:link w:val="FooterChar"/>
    <w:uiPriority w:val="99"/>
    <w:unhideWhenUsed/>
    <w:rsid w:val="00F304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0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c.gov/Archives/edgar/data/1639825/000119312519230923/d738839ds1.ht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owler.com/company/onepeloto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ofitwell.com/recur/all/pricing-page-teardown-peloton-soulcycle#:~:text=Peloton%20reported%20%24170%20million%20in,383K%20subscribers%20and%201%2C200%20employee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cnbc.com/2020/05/06/peloton-pton-reports-fiscal-q3-2020-earning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13</Pages>
  <Words>3545</Words>
  <Characters>20213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2021-02-04T22:21:00Z</dcterms:created>
  <dcterms:modified xsi:type="dcterms:W3CDTF">2021-02-04T22:53:00Z</dcterms:modified>
</cp:coreProperties>
</file>